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685"/>
        <w:gridCol w:w="2755"/>
      </w:tblGrid>
      <w:tr w:rsidR="00F72728" w14:paraId="4C7F622D" w14:textId="77777777" w:rsidTr="003155E7">
        <w:tc>
          <w:tcPr>
            <w:tcW w:w="2802" w:type="dxa"/>
          </w:tcPr>
          <w:p w14:paraId="63FD27CD" w14:textId="77777777" w:rsidR="00F72728" w:rsidRDefault="00F72728">
            <w:r>
              <w:rPr>
                <w:noProof/>
                <w:lang w:eastAsia="en-GB"/>
              </w:rPr>
              <w:drawing>
                <wp:inline distT="0" distB="0" distL="0" distR="0" wp14:anchorId="533C40AF" wp14:editId="498A4999">
                  <wp:extent cx="1527349" cy="1457011"/>
                  <wp:effectExtent l="19050" t="19050" r="15875" b="10160"/>
                  <wp:docPr id="3" name="Picture 3" descr="C:\Users\IAN\Pictures\su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N\Pictures\sun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553" cy="1457206"/>
                          </a:xfrm>
                          <a:prstGeom prst="rect">
                            <a:avLst/>
                          </a:prstGeom>
                          <a:noFill/>
                          <a:ln>
                            <a:solidFill>
                              <a:schemeClr val="accent1"/>
                            </a:solidFill>
                          </a:ln>
                        </pic:spPr>
                      </pic:pic>
                    </a:graphicData>
                  </a:graphic>
                </wp:inline>
              </w:drawing>
            </w:r>
          </w:p>
        </w:tc>
        <w:tc>
          <w:tcPr>
            <w:tcW w:w="3685" w:type="dxa"/>
          </w:tcPr>
          <w:p w14:paraId="01ECD19F" w14:textId="77777777" w:rsidR="00F72728" w:rsidRDefault="00F72728"/>
          <w:p w14:paraId="753274AF" w14:textId="77777777" w:rsidR="00D42E13" w:rsidRDefault="00D42E13" w:rsidP="00D42E13">
            <w:pPr>
              <w:spacing w:before="240"/>
              <w:jc w:val="center"/>
              <w:rPr>
                <w:b/>
                <w:sz w:val="32"/>
                <w:szCs w:val="32"/>
              </w:rPr>
            </w:pPr>
            <w:r w:rsidRPr="00D42E13">
              <w:rPr>
                <w:b/>
                <w:sz w:val="32"/>
                <w:szCs w:val="32"/>
              </w:rPr>
              <w:t xml:space="preserve">PepsiCo </w:t>
            </w:r>
            <w:proofErr w:type="spellStart"/>
            <w:r w:rsidRPr="00D42E13">
              <w:rPr>
                <w:b/>
                <w:sz w:val="32"/>
                <w:szCs w:val="32"/>
              </w:rPr>
              <w:t>Sunbites</w:t>
            </w:r>
            <w:proofErr w:type="spellEnd"/>
            <w:r w:rsidRPr="00D42E13">
              <w:rPr>
                <w:b/>
                <w:sz w:val="32"/>
                <w:szCs w:val="32"/>
              </w:rPr>
              <w:t>:</w:t>
            </w:r>
          </w:p>
          <w:p w14:paraId="2BB3590F" w14:textId="77777777" w:rsidR="00D42E13" w:rsidRPr="00D42E13" w:rsidRDefault="00D42E13" w:rsidP="00D42E13">
            <w:pPr>
              <w:spacing w:before="240"/>
              <w:jc w:val="center"/>
              <w:rPr>
                <w:b/>
                <w:sz w:val="32"/>
                <w:szCs w:val="32"/>
              </w:rPr>
            </w:pPr>
            <w:r>
              <w:rPr>
                <w:b/>
                <w:sz w:val="32"/>
                <w:szCs w:val="32"/>
              </w:rPr>
              <w:t>2018</w:t>
            </w:r>
            <w:r w:rsidRPr="00D42E13">
              <w:rPr>
                <w:b/>
                <w:sz w:val="32"/>
                <w:szCs w:val="32"/>
              </w:rPr>
              <w:t xml:space="preserve"> Extension Strategy</w:t>
            </w:r>
          </w:p>
        </w:tc>
        <w:tc>
          <w:tcPr>
            <w:tcW w:w="2755" w:type="dxa"/>
          </w:tcPr>
          <w:p w14:paraId="1A6C6C31" w14:textId="77777777" w:rsidR="00F72728" w:rsidRDefault="00D42E13">
            <w:r>
              <w:rPr>
                <w:noProof/>
                <w:lang w:eastAsia="en-GB"/>
              </w:rPr>
              <w:drawing>
                <wp:inline distT="0" distB="0" distL="0" distR="0" wp14:anchorId="59364C1F" wp14:editId="13131D6D">
                  <wp:extent cx="1728317" cy="1455298"/>
                  <wp:effectExtent l="19050" t="19050" r="24765" b="12065"/>
                  <wp:docPr id="4" name="Picture 4" descr="C:\Users\IAN\Pictures\sun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N\Pictures\sunb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8435" cy="1472238"/>
                          </a:xfrm>
                          <a:prstGeom prst="rect">
                            <a:avLst/>
                          </a:prstGeom>
                          <a:noFill/>
                          <a:ln>
                            <a:solidFill>
                              <a:schemeClr val="accent1"/>
                            </a:solidFill>
                          </a:ln>
                        </pic:spPr>
                      </pic:pic>
                    </a:graphicData>
                  </a:graphic>
                </wp:inline>
              </w:drawing>
            </w:r>
          </w:p>
        </w:tc>
      </w:tr>
      <w:tr w:rsidR="00F72728" w14:paraId="49D91622" w14:textId="77777777" w:rsidTr="003155E7">
        <w:tc>
          <w:tcPr>
            <w:tcW w:w="2802" w:type="dxa"/>
          </w:tcPr>
          <w:p w14:paraId="4DE63209" w14:textId="77777777" w:rsidR="00F72728" w:rsidRPr="00365CE0" w:rsidRDefault="00D42E13" w:rsidP="00D42E13">
            <w:pPr>
              <w:jc w:val="center"/>
              <w:rPr>
                <w:sz w:val="16"/>
                <w:szCs w:val="16"/>
              </w:rPr>
            </w:pPr>
            <w:r w:rsidRPr="00365CE0">
              <w:rPr>
                <w:sz w:val="16"/>
                <w:szCs w:val="16"/>
              </w:rPr>
              <w:t>Old pack</w:t>
            </w:r>
          </w:p>
        </w:tc>
        <w:tc>
          <w:tcPr>
            <w:tcW w:w="3685" w:type="dxa"/>
          </w:tcPr>
          <w:p w14:paraId="131A6D5F" w14:textId="77777777" w:rsidR="00F72728" w:rsidRPr="00365CE0" w:rsidRDefault="00F72728" w:rsidP="00D42E13">
            <w:pPr>
              <w:jc w:val="center"/>
              <w:rPr>
                <w:sz w:val="16"/>
                <w:szCs w:val="16"/>
              </w:rPr>
            </w:pPr>
          </w:p>
        </w:tc>
        <w:tc>
          <w:tcPr>
            <w:tcW w:w="2755" w:type="dxa"/>
          </w:tcPr>
          <w:p w14:paraId="77E290C7" w14:textId="77777777" w:rsidR="00F72728" w:rsidRPr="00365CE0" w:rsidRDefault="00D42E13" w:rsidP="00D42E13">
            <w:pPr>
              <w:jc w:val="center"/>
              <w:rPr>
                <w:sz w:val="16"/>
                <w:szCs w:val="16"/>
              </w:rPr>
            </w:pPr>
            <w:r w:rsidRPr="00365CE0">
              <w:rPr>
                <w:sz w:val="16"/>
                <w:szCs w:val="16"/>
              </w:rPr>
              <w:t>New pack</w:t>
            </w:r>
          </w:p>
        </w:tc>
      </w:tr>
    </w:tbl>
    <w:p w14:paraId="2832E94D" w14:textId="77777777" w:rsidR="00D42E13" w:rsidRPr="00365CE0" w:rsidRDefault="00D42E13" w:rsidP="00686E89">
      <w:pPr>
        <w:spacing w:before="120" w:after="140"/>
        <w:rPr>
          <w:sz w:val="20"/>
          <w:szCs w:val="20"/>
        </w:rPr>
      </w:pPr>
      <w:r w:rsidRPr="00365CE0">
        <w:rPr>
          <w:sz w:val="20"/>
          <w:szCs w:val="20"/>
        </w:rPr>
        <w:t xml:space="preserve">Most businesses introduce an extension strategy when a brand hits maturity or decline. PepsiCo is unusual in re-launching its </w:t>
      </w:r>
      <w:proofErr w:type="spellStart"/>
      <w:r w:rsidRPr="00365CE0">
        <w:rPr>
          <w:sz w:val="20"/>
          <w:szCs w:val="20"/>
        </w:rPr>
        <w:t>Sunbites</w:t>
      </w:r>
      <w:proofErr w:type="spellEnd"/>
      <w:r w:rsidRPr="00365CE0">
        <w:rPr>
          <w:sz w:val="20"/>
          <w:szCs w:val="20"/>
        </w:rPr>
        <w:t xml:space="preserve"> brand in July 2018, while sales have been buoyant</w:t>
      </w:r>
      <w:r w:rsidR="003155E7" w:rsidRPr="00365CE0">
        <w:rPr>
          <w:sz w:val="20"/>
          <w:szCs w:val="20"/>
        </w:rPr>
        <w:t xml:space="preserve"> (see graph below)</w:t>
      </w:r>
      <w:r w:rsidRPr="00365CE0">
        <w:rPr>
          <w:sz w:val="20"/>
          <w:szCs w:val="20"/>
        </w:rPr>
        <w:t xml:space="preserve">. PepsiCo says “The new look is designed to increase stand-out on shelf, with a softer, subtly more attractive design than the previous branding”. It also looks like the pack </w:t>
      </w:r>
      <w:r w:rsidR="003155E7" w:rsidRPr="00365CE0">
        <w:rPr>
          <w:sz w:val="20"/>
          <w:szCs w:val="20"/>
        </w:rPr>
        <w:t>is designed to emphasise the word ‘Grain’, which may fit in with the brand’s supposedly healthy image.</w:t>
      </w:r>
    </w:p>
    <w:p w14:paraId="442CE55F" w14:textId="77777777" w:rsidR="003155E7" w:rsidRPr="00365CE0" w:rsidRDefault="003155E7" w:rsidP="00686E89">
      <w:pPr>
        <w:spacing w:after="140"/>
        <w:rPr>
          <w:sz w:val="20"/>
          <w:szCs w:val="20"/>
        </w:rPr>
      </w:pPr>
      <w:r w:rsidRPr="00365CE0">
        <w:rPr>
          <w:sz w:val="20"/>
          <w:szCs w:val="20"/>
        </w:rPr>
        <w:t>The relaunch will also involve a new, bigger advertising campaign and a new product launch. Sharon Barraclough, marketing director for UK Snacks at PepsiCo, commented: “</w:t>
      </w:r>
      <w:proofErr w:type="spellStart"/>
      <w:r w:rsidRPr="00365CE0">
        <w:rPr>
          <w:sz w:val="20"/>
          <w:szCs w:val="20"/>
        </w:rPr>
        <w:t>Sunbites</w:t>
      </w:r>
      <w:proofErr w:type="spellEnd"/>
      <w:r w:rsidRPr="00365CE0">
        <w:rPr>
          <w:sz w:val="20"/>
          <w:szCs w:val="20"/>
        </w:rPr>
        <w:t xml:space="preserve"> has a loyal fan base and we want to continue maximising awareness of the brand as the demand for ‘better for you’ options increases. The TV advert will ensure the brand is front of mind for shoppers and it will also encourage people to try the latest addition to our range, </w:t>
      </w:r>
      <w:proofErr w:type="spellStart"/>
      <w:r w:rsidRPr="00365CE0">
        <w:rPr>
          <w:sz w:val="20"/>
          <w:szCs w:val="20"/>
        </w:rPr>
        <w:t>Sunbites</w:t>
      </w:r>
      <w:proofErr w:type="spellEnd"/>
      <w:r w:rsidRPr="00365CE0">
        <w:rPr>
          <w:sz w:val="20"/>
          <w:szCs w:val="20"/>
        </w:rPr>
        <w:t xml:space="preserve"> Veggie Harvest.</w:t>
      </w:r>
    </w:p>
    <w:p w14:paraId="09684269" w14:textId="77777777" w:rsidR="003155E7" w:rsidRPr="00365CE0" w:rsidRDefault="003155E7" w:rsidP="00686E89">
      <w:pPr>
        <w:spacing w:after="140"/>
        <w:rPr>
          <w:sz w:val="20"/>
          <w:szCs w:val="20"/>
        </w:rPr>
      </w:pPr>
      <w:r w:rsidRPr="00365CE0">
        <w:rPr>
          <w:sz w:val="20"/>
          <w:szCs w:val="20"/>
        </w:rPr>
        <w:t xml:space="preserve">When </w:t>
      </w:r>
      <w:proofErr w:type="spellStart"/>
      <w:r w:rsidRPr="00365CE0">
        <w:rPr>
          <w:sz w:val="20"/>
          <w:szCs w:val="20"/>
        </w:rPr>
        <w:t>Sunbites</w:t>
      </w:r>
      <w:proofErr w:type="spellEnd"/>
      <w:r w:rsidRPr="00365CE0">
        <w:rPr>
          <w:sz w:val="20"/>
          <w:szCs w:val="20"/>
        </w:rPr>
        <w:t xml:space="preserve"> was first introduced in 2011 it was unusual for a sn</w:t>
      </w:r>
      <w:r w:rsidR="00734FD7">
        <w:rPr>
          <w:sz w:val="20"/>
          <w:szCs w:val="20"/>
        </w:rPr>
        <w:t>a</w:t>
      </w:r>
      <w:r w:rsidRPr="00365CE0">
        <w:rPr>
          <w:sz w:val="20"/>
          <w:szCs w:val="20"/>
        </w:rPr>
        <w:t xml:space="preserve">ck product in being targeted at 35-50-year old women. It used a series of social media campaigns on Facebook, </w:t>
      </w:r>
      <w:proofErr w:type="spellStart"/>
      <w:r w:rsidRPr="00365CE0">
        <w:rPr>
          <w:sz w:val="20"/>
          <w:szCs w:val="20"/>
        </w:rPr>
        <w:t>Mumsnet</w:t>
      </w:r>
      <w:proofErr w:type="spellEnd"/>
      <w:r w:rsidRPr="00365CE0">
        <w:rPr>
          <w:sz w:val="20"/>
          <w:szCs w:val="20"/>
        </w:rPr>
        <w:t xml:space="preserve"> and other U.K. channels popular with women. It has always been marketed as a multigrain, healthier snack.</w:t>
      </w:r>
    </w:p>
    <w:p w14:paraId="7FC861E6" w14:textId="77777777" w:rsidR="003155E7" w:rsidRPr="00365CE0" w:rsidRDefault="003155E7" w:rsidP="00686E89">
      <w:pPr>
        <w:spacing w:after="140"/>
        <w:rPr>
          <w:sz w:val="20"/>
          <w:szCs w:val="20"/>
        </w:rPr>
      </w:pPr>
      <w:r w:rsidRPr="00365CE0">
        <w:rPr>
          <w:sz w:val="20"/>
          <w:szCs w:val="20"/>
        </w:rPr>
        <w:t xml:space="preserve">The graph below shows the rise of </w:t>
      </w:r>
      <w:proofErr w:type="spellStart"/>
      <w:r w:rsidRPr="00365CE0">
        <w:rPr>
          <w:sz w:val="20"/>
          <w:szCs w:val="20"/>
        </w:rPr>
        <w:t>Sunbites</w:t>
      </w:r>
      <w:proofErr w:type="spellEnd"/>
      <w:r w:rsidRPr="00365CE0">
        <w:rPr>
          <w:sz w:val="20"/>
          <w:szCs w:val="20"/>
        </w:rPr>
        <w:t>, while another PepsiCo product, French Fries, has been declining.</w:t>
      </w:r>
    </w:p>
    <w:p w14:paraId="4560B7C1" w14:textId="77777777" w:rsidR="003155E7" w:rsidRPr="00686E89" w:rsidRDefault="003155E7" w:rsidP="00686E89">
      <w:pPr>
        <w:jc w:val="center"/>
        <w:rPr>
          <w:b/>
          <w:sz w:val="24"/>
          <w:szCs w:val="24"/>
        </w:rPr>
      </w:pPr>
      <w:r>
        <w:rPr>
          <w:noProof/>
          <w:lang w:eastAsia="en-GB"/>
        </w:rPr>
        <w:drawing>
          <wp:inline distT="0" distB="0" distL="0" distR="0" wp14:anchorId="03F1BA94" wp14:editId="7AF9CF89">
            <wp:extent cx="5526593" cy="2682910"/>
            <wp:effectExtent l="0" t="0" r="17145"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76430D" w14:textId="77777777" w:rsidR="003155E7" w:rsidRPr="00686E89" w:rsidRDefault="00365CE0" w:rsidP="00686E89">
      <w:pPr>
        <w:jc w:val="center"/>
        <w:rPr>
          <w:b/>
          <w:sz w:val="24"/>
          <w:szCs w:val="24"/>
        </w:rPr>
      </w:pPr>
      <w:r w:rsidRPr="00686E89">
        <w:rPr>
          <w:b/>
          <w:sz w:val="24"/>
          <w:szCs w:val="24"/>
        </w:rPr>
        <w:t>Questions</w:t>
      </w:r>
      <w:r w:rsidR="00686E89" w:rsidRPr="00686E89">
        <w:rPr>
          <w:b/>
          <w:sz w:val="24"/>
          <w:szCs w:val="24"/>
        </w:rPr>
        <w:t>: 20 marks, 20 minutes</w:t>
      </w:r>
    </w:p>
    <w:p w14:paraId="15F71EB2" w14:textId="77777777" w:rsidR="00365CE0" w:rsidRDefault="00365CE0" w:rsidP="00D42E13">
      <w:pPr>
        <w:rPr>
          <w:sz w:val="20"/>
          <w:szCs w:val="20"/>
        </w:rPr>
      </w:pPr>
      <w:r>
        <w:rPr>
          <w:sz w:val="20"/>
          <w:szCs w:val="20"/>
        </w:rPr>
        <w:t>1. Explain</w:t>
      </w:r>
      <w:r w:rsidR="00686E89">
        <w:rPr>
          <w:sz w:val="20"/>
          <w:szCs w:val="20"/>
        </w:rPr>
        <w:t xml:space="preserve"> one disadvantage to a business of marketing its products only by social media. (3)</w:t>
      </w:r>
      <w:r>
        <w:rPr>
          <w:sz w:val="20"/>
          <w:szCs w:val="20"/>
        </w:rPr>
        <w:t xml:space="preserve"> </w:t>
      </w:r>
    </w:p>
    <w:p w14:paraId="44614564" w14:textId="77777777" w:rsidR="00365CE0" w:rsidRDefault="00686E89" w:rsidP="00D42E13">
      <w:pPr>
        <w:rPr>
          <w:sz w:val="20"/>
          <w:szCs w:val="20"/>
        </w:rPr>
      </w:pPr>
      <w:r>
        <w:rPr>
          <w:sz w:val="20"/>
          <w:szCs w:val="20"/>
        </w:rPr>
        <w:t>2</w:t>
      </w:r>
      <w:r w:rsidR="00365CE0" w:rsidRPr="00365CE0">
        <w:rPr>
          <w:sz w:val="20"/>
          <w:szCs w:val="20"/>
        </w:rPr>
        <w:t xml:space="preserve">. </w:t>
      </w:r>
      <w:r w:rsidR="00365CE0">
        <w:rPr>
          <w:sz w:val="20"/>
          <w:szCs w:val="20"/>
        </w:rPr>
        <w:t>Discuss whether it is wise to introduce an extension strategy during a product’s growth stage. (6)</w:t>
      </w:r>
    </w:p>
    <w:p w14:paraId="62AFE60B" w14:textId="77777777" w:rsidR="00686E89" w:rsidRDefault="00686E89" w:rsidP="00D42E13">
      <w:pPr>
        <w:rPr>
          <w:sz w:val="20"/>
          <w:szCs w:val="20"/>
        </w:rPr>
      </w:pPr>
      <w:r>
        <w:rPr>
          <w:sz w:val="20"/>
          <w:szCs w:val="20"/>
        </w:rPr>
        <w:t>3. Calculate the % decline in sales of French Fries between 2010 and 2017. (2)</w:t>
      </w:r>
    </w:p>
    <w:p w14:paraId="1119103C" w14:textId="77777777" w:rsidR="00365CE0" w:rsidRDefault="00686E89" w:rsidP="00D42E13">
      <w:pPr>
        <w:rPr>
          <w:sz w:val="20"/>
          <w:szCs w:val="20"/>
        </w:rPr>
      </w:pPr>
      <w:r>
        <w:rPr>
          <w:sz w:val="20"/>
          <w:szCs w:val="20"/>
        </w:rPr>
        <w:t>4</w:t>
      </w:r>
      <w:r w:rsidR="00365CE0">
        <w:rPr>
          <w:sz w:val="20"/>
          <w:szCs w:val="20"/>
        </w:rPr>
        <w:t xml:space="preserve">. PepsiCo had two options with its </w:t>
      </w:r>
      <w:proofErr w:type="spellStart"/>
      <w:r w:rsidR="00365CE0">
        <w:rPr>
          <w:sz w:val="20"/>
          <w:szCs w:val="20"/>
        </w:rPr>
        <w:t>Sunbites</w:t>
      </w:r>
      <w:proofErr w:type="spellEnd"/>
      <w:r w:rsidR="00365CE0">
        <w:rPr>
          <w:sz w:val="20"/>
          <w:szCs w:val="20"/>
        </w:rPr>
        <w:t xml:space="preserve"> extension strategy: Option 1 to continue to target 35-50-year-old women or Option 2: re-target the brand at all adults. </w:t>
      </w:r>
      <w:r w:rsidR="00D77843">
        <w:rPr>
          <w:sz w:val="20"/>
          <w:szCs w:val="20"/>
        </w:rPr>
        <w:t>Evaluate</w:t>
      </w:r>
      <w:r w:rsidR="00365CE0">
        <w:rPr>
          <w:sz w:val="20"/>
          <w:szCs w:val="20"/>
        </w:rPr>
        <w:t xml:space="preserve"> which option PepsiCo should have chosen. (9)</w:t>
      </w:r>
    </w:p>
    <w:p w14:paraId="09909847" w14:textId="77777777" w:rsidR="006B6758" w:rsidRPr="006B6758" w:rsidRDefault="006B6758">
      <w:pPr>
        <w:rPr>
          <w:b/>
          <w:sz w:val="36"/>
          <w:szCs w:val="36"/>
          <w:u w:val="single"/>
        </w:rPr>
      </w:pPr>
      <w:r w:rsidRPr="006B6758">
        <w:rPr>
          <w:b/>
          <w:sz w:val="36"/>
          <w:szCs w:val="36"/>
          <w:u w:val="single"/>
        </w:rPr>
        <w:lastRenderedPageBreak/>
        <w:t>Question 4 - 9 marks</w:t>
      </w:r>
    </w:p>
    <w:p w14:paraId="0B2EA467" w14:textId="77777777" w:rsidR="006B6758" w:rsidRPr="006B6758" w:rsidRDefault="006B6758">
      <w:pPr>
        <w:rPr>
          <w:b/>
          <w:sz w:val="36"/>
          <w:szCs w:val="36"/>
        </w:rPr>
      </w:pPr>
      <w:r w:rsidRPr="006B6758">
        <w:rPr>
          <w:b/>
          <w:sz w:val="36"/>
          <w:szCs w:val="36"/>
        </w:rPr>
        <w:t>1 mark –</w:t>
      </w:r>
      <w:r>
        <w:rPr>
          <w:b/>
          <w:sz w:val="36"/>
          <w:szCs w:val="36"/>
        </w:rPr>
        <w:t xml:space="preserve"> D</w:t>
      </w:r>
      <w:r w:rsidRPr="006B6758">
        <w:rPr>
          <w:b/>
          <w:sz w:val="36"/>
          <w:szCs w:val="36"/>
        </w:rPr>
        <w:t>efinition of an extension strategy</w:t>
      </w:r>
    </w:p>
    <w:p w14:paraId="1765B745" w14:textId="77777777" w:rsidR="006B6758" w:rsidRPr="006B6758" w:rsidRDefault="006B6758">
      <w:pPr>
        <w:rPr>
          <w:b/>
          <w:sz w:val="36"/>
          <w:szCs w:val="36"/>
        </w:rPr>
      </w:pPr>
      <w:r w:rsidRPr="006B6758">
        <w:rPr>
          <w:b/>
          <w:sz w:val="36"/>
          <w:szCs w:val="36"/>
        </w:rPr>
        <w:t>1 mark –</w:t>
      </w:r>
      <w:r>
        <w:rPr>
          <w:b/>
          <w:sz w:val="36"/>
          <w:szCs w:val="36"/>
        </w:rPr>
        <w:t xml:space="preserve"> W</w:t>
      </w:r>
      <w:r w:rsidRPr="006B6758">
        <w:rPr>
          <w:b/>
          <w:sz w:val="36"/>
          <w:szCs w:val="36"/>
        </w:rPr>
        <w:t>hat type of extension strategy are PepsiCo using</w:t>
      </w:r>
      <w:r>
        <w:rPr>
          <w:b/>
          <w:sz w:val="36"/>
          <w:szCs w:val="36"/>
        </w:rPr>
        <w:t>?</w:t>
      </w:r>
    </w:p>
    <w:p w14:paraId="3434A038" w14:textId="77777777" w:rsidR="006B6758" w:rsidRPr="006B6758" w:rsidRDefault="006B6758">
      <w:pPr>
        <w:rPr>
          <w:b/>
          <w:sz w:val="36"/>
          <w:szCs w:val="36"/>
        </w:rPr>
      </w:pPr>
      <w:r w:rsidRPr="006B6758">
        <w:rPr>
          <w:b/>
          <w:sz w:val="36"/>
          <w:szCs w:val="36"/>
        </w:rPr>
        <w:t>4 marks – Analyse options 1 and 2</w:t>
      </w:r>
    </w:p>
    <w:p w14:paraId="61F34920" w14:textId="2FDCA04C" w:rsidR="006B6758" w:rsidRDefault="006B6758">
      <w:pPr>
        <w:rPr>
          <w:b/>
          <w:sz w:val="36"/>
          <w:szCs w:val="36"/>
        </w:rPr>
      </w:pPr>
      <w:r w:rsidRPr="006B6758">
        <w:rPr>
          <w:b/>
          <w:sz w:val="36"/>
          <w:szCs w:val="36"/>
        </w:rPr>
        <w:t>3 marks – Decision and justification</w:t>
      </w:r>
      <w:bookmarkStart w:id="0" w:name="_GoBack"/>
      <w:bookmarkEnd w:id="0"/>
    </w:p>
    <w:sectPr w:rsidR="006B6758" w:rsidSect="00686E89">
      <w:pgSz w:w="11906" w:h="16838"/>
      <w:pgMar w:top="1134" w:right="1531" w:bottom="90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F1EF6"/>
    <w:multiLevelType w:val="hybridMultilevel"/>
    <w:tmpl w:val="E060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B87517"/>
    <w:multiLevelType w:val="hybridMultilevel"/>
    <w:tmpl w:val="7864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30"/>
    <w:rsid w:val="00163717"/>
    <w:rsid w:val="001B6853"/>
    <w:rsid w:val="00260ACA"/>
    <w:rsid w:val="003155E7"/>
    <w:rsid w:val="00365CE0"/>
    <w:rsid w:val="00440939"/>
    <w:rsid w:val="00486576"/>
    <w:rsid w:val="005D1F6A"/>
    <w:rsid w:val="00686E89"/>
    <w:rsid w:val="006B6758"/>
    <w:rsid w:val="00734FD7"/>
    <w:rsid w:val="00802E30"/>
    <w:rsid w:val="009E2696"/>
    <w:rsid w:val="00B90FE9"/>
    <w:rsid w:val="00CC6028"/>
    <w:rsid w:val="00D42E13"/>
    <w:rsid w:val="00D77843"/>
    <w:rsid w:val="00F72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C3D7"/>
  <w15:docId w15:val="{BBFF6D39-6274-4384-A233-9AB510E8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728"/>
    <w:rPr>
      <w:rFonts w:ascii="Tahoma" w:hAnsi="Tahoma" w:cs="Tahoma"/>
      <w:sz w:val="16"/>
      <w:szCs w:val="16"/>
    </w:rPr>
  </w:style>
  <w:style w:type="paragraph" w:styleId="ListParagraph">
    <w:name w:val="List Paragraph"/>
    <w:basedOn w:val="Normal"/>
    <w:uiPriority w:val="34"/>
    <w:qFormat/>
    <w:rsid w:val="00734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Yearly UK sales of Sunbites and French Fries </a:t>
            </a:r>
          </a:p>
          <a:p>
            <a:pPr>
              <a:defRPr/>
            </a:pPr>
            <a:r>
              <a:rPr lang="en-US" sz="900"/>
              <a:t>Source: The Grocer magazine</a:t>
            </a:r>
          </a:p>
        </c:rich>
      </c:tx>
      <c:layout/>
      <c:overlay val="0"/>
    </c:title>
    <c:autoTitleDeleted val="0"/>
    <c:plotArea>
      <c:layout>
        <c:manualLayout>
          <c:layoutTarget val="inner"/>
          <c:xMode val="edge"/>
          <c:yMode val="edge"/>
          <c:x val="8.8568063070328482E-2"/>
          <c:y val="0.2272393223574326"/>
          <c:w val="0.6952682620980547"/>
          <c:h val="0.66029534187014505"/>
        </c:manualLayout>
      </c:layout>
      <c:lineChart>
        <c:grouping val="standard"/>
        <c:varyColors val="0"/>
        <c:ser>
          <c:idx val="0"/>
          <c:order val="0"/>
          <c:tx>
            <c:strRef>
              <c:f>Sheet1!$G$6</c:f>
              <c:strCache>
                <c:ptCount val="1"/>
                <c:pt idx="0">
                  <c:v>Sunbites</c:v>
                </c:pt>
              </c:strCache>
            </c:strRef>
          </c:tx>
          <c:spPr>
            <a:ln w="34925"/>
          </c:spPr>
          <c:cat>
            <c:numRef>
              <c:f>Sheet1!$F$7:$F$14</c:f>
              <c:numCache>
                <c:formatCode>General</c:formatCode>
                <c:ptCount val="8"/>
                <c:pt idx="0">
                  <c:v>2010</c:v>
                </c:pt>
                <c:pt idx="1">
                  <c:v>2011</c:v>
                </c:pt>
                <c:pt idx="2">
                  <c:v>2012</c:v>
                </c:pt>
                <c:pt idx="3">
                  <c:v>2013</c:v>
                </c:pt>
                <c:pt idx="4">
                  <c:v>2014</c:v>
                </c:pt>
                <c:pt idx="5">
                  <c:v>2015</c:v>
                </c:pt>
                <c:pt idx="6">
                  <c:v>2016</c:v>
                </c:pt>
                <c:pt idx="7">
                  <c:v>2017</c:v>
                </c:pt>
              </c:numCache>
            </c:numRef>
          </c:cat>
          <c:val>
            <c:numRef>
              <c:f>Sheet1!$G$7:$G$14</c:f>
              <c:numCache>
                <c:formatCode>General</c:formatCode>
                <c:ptCount val="8"/>
                <c:pt idx="0">
                  <c:v>0</c:v>
                </c:pt>
                <c:pt idx="1">
                  <c:v>20.5</c:v>
                </c:pt>
                <c:pt idx="2">
                  <c:v>26.8</c:v>
                </c:pt>
                <c:pt idx="3">
                  <c:v>27.8</c:v>
                </c:pt>
                <c:pt idx="4">
                  <c:v>35.4</c:v>
                </c:pt>
                <c:pt idx="5">
                  <c:v>37.200000000000003</c:v>
                </c:pt>
                <c:pt idx="6">
                  <c:v>39.700000000000003</c:v>
                </c:pt>
                <c:pt idx="7">
                  <c:v>44</c:v>
                </c:pt>
              </c:numCache>
            </c:numRef>
          </c:val>
          <c:smooth val="0"/>
          <c:extLst>
            <c:ext xmlns:c16="http://schemas.microsoft.com/office/drawing/2014/chart" uri="{C3380CC4-5D6E-409C-BE32-E72D297353CC}">
              <c16:uniqueId val="{00000000-14AA-47DE-9B69-90D9476288BA}"/>
            </c:ext>
          </c:extLst>
        </c:ser>
        <c:ser>
          <c:idx val="1"/>
          <c:order val="1"/>
          <c:tx>
            <c:strRef>
              <c:f>Sheet1!$H$6</c:f>
              <c:strCache>
                <c:ptCount val="1"/>
                <c:pt idx="0">
                  <c:v>French Fries</c:v>
                </c:pt>
              </c:strCache>
            </c:strRef>
          </c:tx>
          <c:spPr>
            <a:ln>
              <a:solidFill>
                <a:srgbClr val="FF0000"/>
              </a:solidFill>
              <a:prstDash val="dash"/>
            </a:ln>
          </c:spPr>
          <c:marker>
            <c:symbol val="square"/>
            <c:size val="6"/>
            <c:spPr>
              <a:solidFill>
                <a:schemeClr val="tx1"/>
              </a:solidFill>
            </c:spPr>
          </c:marker>
          <c:dLbls>
            <c:dLbl>
              <c:idx val="0"/>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4AA-47DE-9B69-90D9476288BA}"/>
                </c:ext>
              </c:extLst>
            </c:dLbl>
            <c:dLbl>
              <c:idx val="7"/>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4AA-47DE-9B69-90D9476288BA}"/>
                </c:ext>
              </c:extLst>
            </c:dLbl>
            <c:spPr>
              <a:noFill/>
              <a:ln>
                <a:noFill/>
              </a:ln>
              <a:effectLst/>
            </c:spPr>
            <c:dLblPos val="t"/>
            <c:showLegendKey val="0"/>
            <c:showVal val="0"/>
            <c:showCatName val="0"/>
            <c:showSerName val="0"/>
            <c:showPercent val="0"/>
            <c:showBubbleSize val="0"/>
            <c:extLst>
              <c:ext xmlns:c15="http://schemas.microsoft.com/office/drawing/2012/chart" uri="{CE6537A1-D6FC-4f65-9D91-7224C49458BB}">
                <c15:showLeaderLines val="0"/>
              </c:ext>
            </c:extLst>
          </c:dLbls>
          <c:cat>
            <c:numRef>
              <c:f>Sheet1!$F$7:$F$14</c:f>
              <c:numCache>
                <c:formatCode>General</c:formatCode>
                <c:ptCount val="8"/>
                <c:pt idx="0">
                  <c:v>2010</c:v>
                </c:pt>
                <c:pt idx="1">
                  <c:v>2011</c:v>
                </c:pt>
                <c:pt idx="2">
                  <c:v>2012</c:v>
                </c:pt>
                <c:pt idx="3">
                  <c:v>2013</c:v>
                </c:pt>
                <c:pt idx="4">
                  <c:v>2014</c:v>
                </c:pt>
                <c:pt idx="5">
                  <c:v>2015</c:v>
                </c:pt>
                <c:pt idx="6">
                  <c:v>2016</c:v>
                </c:pt>
                <c:pt idx="7">
                  <c:v>2017</c:v>
                </c:pt>
              </c:numCache>
            </c:numRef>
          </c:cat>
          <c:val>
            <c:numRef>
              <c:f>Sheet1!$H$7:$H$14</c:f>
              <c:numCache>
                <c:formatCode>General</c:formatCode>
                <c:ptCount val="8"/>
                <c:pt idx="0">
                  <c:v>37</c:v>
                </c:pt>
                <c:pt idx="1">
                  <c:v>33.4</c:v>
                </c:pt>
                <c:pt idx="2">
                  <c:v>36.200000000000003</c:v>
                </c:pt>
                <c:pt idx="3">
                  <c:v>35.4</c:v>
                </c:pt>
                <c:pt idx="4">
                  <c:v>30.3</c:v>
                </c:pt>
                <c:pt idx="5">
                  <c:v>33.1</c:v>
                </c:pt>
                <c:pt idx="6">
                  <c:v>29.8</c:v>
                </c:pt>
                <c:pt idx="7">
                  <c:v>28.1</c:v>
                </c:pt>
              </c:numCache>
            </c:numRef>
          </c:val>
          <c:smooth val="0"/>
          <c:extLst>
            <c:ext xmlns:c16="http://schemas.microsoft.com/office/drawing/2014/chart" uri="{C3380CC4-5D6E-409C-BE32-E72D297353CC}">
              <c16:uniqueId val="{00000003-14AA-47DE-9B69-90D9476288BA}"/>
            </c:ext>
          </c:extLst>
        </c:ser>
        <c:dLbls>
          <c:showLegendKey val="0"/>
          <c:showVal val="0"/>
          <c:showCatName val="0"/>
          <c:showSerName val="0"/>
          <c:showPercent val="0"/>
          <c:showBubbleSize val="0"/>
        </c:dLbls>
        <c:marker val="1"/>
        <c:smooth val="0"/>
        <c:axId val="67393408"/>
        <c:axId val="67394944"/>
      </c:lineChart>
      <c:catAx>
        <c:axId val="67393408"/>
        <c:scaling>
          <c:orientation val="minMax"/>
        </c:scaling>
        <c:delete val="0"/>
        <c:axPos val="b"/>
        <c:majorGridlines/>
        <c:numFmt formatCode="General" sourceLinked="1"/>
        <c:majorTickMark val="out"/>
        <c:minorTickMark val="none"/>
        <c:tickLblPos val="nextTo"/>
        <c:txPr>
          <a:bodyPr/>
          <a:lstStyle/>
          <a:p>
            <a:pPr>
              <a:defRPr b="1"/>
            </a:pPr>
            <a:endParaRPr lang="en-US"/>
          </a:p>
        </c:txPr>
        <c:crossAx val="67394944"/>
        <c:crosses val="autoZero"/>
        <c:auto val="1"/>
        <c:lblAlgn val="ctr"/>
        <c:lblOffset val="100"/>
        <c:noMultiLvlLbl val="0"/>
      </c:catAx>
      <c:valAx>
        <c:axId val="67394944"/>
        <c:scaling>
          <c:orientation val="minMax"/>
        </c:scaling>
        <c:delete val="0"/>
        <c:axPos val="l"/>
        <c:majorGridlines/>
        <c:title>
          <c:tx>
            <c:rich>
              <a:bodyPr rot="0" vert="horz"/>
              <a:lstStyle/>
              <a:p>
                <a:pPr>
                  <a:defRPr/>
                </a:pPr>
                <a:r>
                  <a:rPr lang="en-US"/>
                  <a:t>£millions</a:t>
                </a:r>
              </a:p>
            </c:rich>
          </c:tx>
          <c:layout>
            <c:manualLayout>
              <c:xMode val="edge"/>
              <c:yMode val="edge"/>
              <c:x val="1.4897579143389199E-2"/>
              <c:y val="0.10574829661443835"/>
            </c:manualLayout>
          </c:layout>
          <c:overlay val="0"/>
        </c:title>
        <c:numFmt formatCode="General" sourceLinked="1"/>
        <c:majorTickMark val="out"/>
        <c:minorTickMark val="none"/>
        <c:tickLblPos val="nextTo"/>
        <c:txPr>
          <a:bodyPr/>
          <a:lstStyle/>
          <a:p>
            <a:pPr>
              <a:defRPr b="1"/>
            </a:pPr>
            <a:endParaRPr lang="en-US"/>
          </a:p>
        </c:txPr>
        <c:crossAx val="67393408"/>
        <c:crosses val="autoZero"/>
        <c:crossBetween val="between"/>
      </c:valAx>
    </c:plotArea>
    <c:legend>
      <c:legendPos val="r"/>
      <c:layout>
        <c:manualLayout>
          <c:xMode val="edge"/>
          <c:yMode val="edge"/>
          <c:x val="0.82263901105075043"/>
          <c:y val="0.38181641436234615"/>
          <c:w val="0.16247035821659833"/>
          <c:h val="0.37382612212808214"/>
        </c:manualLayout>
      </c:layout>
      <c:overlay val="0"/>
      <c:txPr>
        <a:bodyPr/>
        <a:lstStyle/>
        <a:p>
          <a:pPr>
            <a:defRPr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8808FDE930B459B75027DA2BC7071" ma:contentTypeVersion="16" ma:contentTypeDescription="Create a new document." ma:contentTypeScope="" ma:versionID="8969643e786a8ac289dcb66ca7b0970d">
  <xsd:schema xmlns:xsd="http://www.w3.org/2001/XMLSchema" xmlns:xs="http://www.w3.org/2001/XMLSchema" xmlns:p="http://schemas.microsoft.com/office/2006/metadata/properties" xmlns:ns3="8a78e437-f544-49c1-87c9-68af7e8275ae" xmlns:ns4="ea125f90-9072-4471-afcf-c211ba4dbc9b" targetNamespace="http://schemas.microsoft.com/office/2006/metadata/properties" ma:root="true" ma:fieldsID="3fcddfccf2cf2f2a0d123197e93bdb5f" ns3:_="" ns4:_="">
    <xsd:import namespace="8a78e437-f544-49c1-87c9-68af7e8275ae"/>
    <xsd:import namespace="ea125f90-9072-4471-afcf-c211ba4dbc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8e437-f544-49c1-87c9-68af7e82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25f90-9072-4471-afcf-c211ba4dbc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a78e437-f544-49c1-87c9-68af7e8275ae" xsi:nil="true"/>
  </documentManagement>
</p:properties>
</file>

<file path=customXml/itemProps1.xml><?xml version="1.0" encoding="utf-8"?>
<ds:datastoreItem xmlns:ds="http://schemas.openxmlformats.org/officeDocument/2006/customXml" ds:itemID="{0BE2036F-F157-4ADA-92B9-795AB860B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8e437-f544-49c1-87c9-68af7e8275ae"/>
    <ds:schemaRef ds:uri="ea125f90-9072-4471-afcf-c211ba4db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6F88A-6FAA-4A2A-B4FC-8DD46E8E9295}">
  <ds:schemaRefs>
    <ds:schemaRef ds:uri="http://schemas.microsoft.com/sharepoint/v3/contenttype/forms"/>
  </ds:schemaRefs>
</ds:datastoreItem>
</file>

<file path=customXml/itemProps3.xml><?xml version="1.0" encoding="utf-8"?>
<ds:datastoreItem xmlns:ds="http://schemas.openxmlformats.org/officeDocument/2006/customXml" ds:itemID="{CA62F057-5BDF-4537-B8BD-A454461DF237}">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metadata/properties"/>
    <ds:schemaRef ds:uri="http://www.w3.org/XML/1998/namespace"/>
    <ds:schemaRef ds:uri="ea125f90-9072-4471-afcf-c211ba4dbc9b"/>
    <ds:schemaRef ds:uri="8a78e437-f544-49c1-87c9-68af7e8275a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V Avery</cp:lastModifiedBy>
  <cp:revision>3</cp:revision>
  <dcterms:created xsi:type="dcterms:W3CDTF">2024-01-16T19:07:00Z</dcterms:created>
  <dcterms:modified xsi:type="dcterms:W3CDTF">2024-01-16T19:07:00Z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0x010100AE18808FDE930B459B75027DA2BC7071</vt:lpwstr>
  </property>
</Properties>
</file>